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蛟河市拉法社区卫生服务中心单位2023年部门预算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bookmarkStart w:id="0" w:name="_GoBack"/>
      <w:bookmarkEnd w:id="0"/>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二〇二三年一月二十九日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ind w:firstLine="880" w:firstLineChars="200"/>
        <w:jc w:val="both"/>
        <w:rPr>
          <w:rFonts w:hint="eastAsia" w:ascii="黑体" w:hAnsi="黑体" w:eastAsia="黑体"/>
          <w:sz w:val="44"/>
          <w:szCs w:val="44"/>
          <w:highlight w:val="none"/>
          <w:lang w:eastAsia="zh-CN"/>
        </w:rPr>
      </w:pPr>
      <w:r>
        <w:rPr>
          <w:rFonts w:hint="eastAsia" w:ascii="黑体" w:hAnsi="黑体" w:eastAsia="黑体"/>
          <w:sz w:val="44"/>
          <w:szCs w:val="44"/>
          <w:highlight w:val="none"/>
          <w:lang w:eastAsia="zh-CN"/>
        </w:rPr>
        <w:t>蛟河市拉法社区卫生服务中心部门</w:t>
      </w:r>
    </w:p>
    <w:p>
      <w:pPr>
        <w:jc w:val="center"/>
        <w:rPr>
          <w:rFonts w:ascii="黑体" w:hAnsi="黑体" w:eastAsia="黑体"/>
          <w:sz w:val="44"/>
          <w:szCs w:val="44"/>
          <w:highlight w:val="none"/>
        </w:rPr>
      </w:pP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rPr>
          <w:rFonts w:ascii="仿宋" w:hAnsi="仿宋" w:eastAsia="仿宋"/>
          <w:sz w:val="32"/>
          <w:szCs w:val="32"/>
          <w:highlight w:val="none"/>
        </w:rPr>
      </w:pP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pPr>
        <w:pStyle w:val="10"/>
        <w:widowControl/>
        <w:spacing w:line="620" w:lineRule="exact"/>
        <w:ind w:firstLine="627" w:firstLineChars="196"/>
        <w:contextualSpacing/>
        <w:rPr>
          <w:rFonts w:hint="eastAsia" w:ascii="仿宋" w:hAnsi="仿宋" w:eastAsia="仿宋"/>
          <w:kern w:val="0"/>
          <w:sz w:val="32"/>
          <w:szCs w:val="32"/>
          <w:highlight w:val="none"/>
          <w:lang w:eastAsia="zh-CN"/>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kern w:val="0"/>
          <w:sz w:val="32"/>
          <w:szCs w:val="32"/>
          <w:highlight w:val="none"/>
          <w:lang w:eastAsia="zh-CN"/>
        </w:rPr>
        <w:t>蛟河市拉法社区卫生服务中心</w:t>
      </w:r>
    </w:p>
    <w:p>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highlight w:val="none"/>
          <w:lang w:val="en-US" w:eastAsia="zh-CN"/>
        </w:rPr>
        <w:t>2011</w:t>
      </w:r>
      <w:r>
        <w:rPr>
          <w:rFonts w:hint="eastAsia" w:ascii="仿宋" w:hAnsi="仿宋" w:eastAsia="仿宋"/>
          <w:bCs/>
          <w:kern w:val="0"/>
          <w:sz w:val="32"/>
          <w:szCs w:val="32"/>
          <w:highlight w:val="none"/>
        </w:rPr>
        <w:t>年</w:t>
      </w:r>
    </w:p>
    <w:p>
      <w:pPr>
        <w:pStyle w:val="10"/>
        <w:widowControl/>
        <w:spacing w:line="620" w:lineRule="exact"/>
        <w:ind w:firstLine="627" w:firstLineChars="196"/>
        <w:contextualSpacing/>
        <w:rPr>
          <w:rFonts w:hint="eastAsia" w:ascii="仿宋" w:hAnsi="仿宋" w:eastAsia="仿宋"/>
          <w:kern w:val="0"/>
          <w:sz w:val="32"/>
          <w:szCs w:val="32"/>
          <w:highlight w:val="none"/>
          <w:lang w:eastAsia="zh-CN"/>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kern w:val="0"/>
          <w:sz w:val="32"/>
          <w:szCs w:val="32"/>
          <w:highlight w:val="none"/>
          <w:lang w:eastAsia="zh-CN"/>
        </w:rPr>
        <w:t>本单位</w:t>
      </w:r>
      <w:r>
        <w:rPr>
          <w:rFonts w:hint="eastAsia" w:ascii="仿宋" w:hAnsi="仿宋" w:eastAsia="仿宋"/>
          <w:kern w:val="0"/>
          <w:sz w:val="32"/>
          <w:szCs w:val="32"/>
          <w:highlight w:val="none"/>
        </w:rPr>
        <w:t>是</w:t>
      </w:r>
      <w:r>
        <w:rPr>
          <w:rFonts w:hint="eastAsia" w:ascii="仿宋" w:hAnsi="仿宋" w:eastAsia="仿宋"/>
          <w:kern w:val="0"/>
          <w:sz w:val="32"/>
          <w:szCs w:val="32"/>
          <w:highlight w:val="none"/>
          <w:lang w:eastAsia="zh-CN"/>
        </w:rPr>
        <w:t>按照国家医改规划而设立的非营利性基层医疗卫生服务机构，实行以健康为中心、家庭为单位、社区为半径、需求为导向的服务宗旨。为人民身体健康提供医疗与预防保健服务，为社区居民提供基本公共卫生服务。</w:t>
      </w:r>
    </w:p>
    <w:p>
      <w:pPr>
        <w:pStyle w:val="10"/>
        <w:widowControl/>
        <w:spacing w:line="620" w:lineRule="exact"/>
        <w:ind w:firstLine="640" w:firstLineChars="200"/>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主要职能：</w:t>
      </w:r>
      <w:r>
        <w:rPr>
          <w:rFonts w:hint="eastAsia" w:ascii="仿宋" w:hAnsi="仿宋" w:eastAsia="仿宋"/>
          <w:bCs/>
          <w:kern w:val="0"/>
          <w:sz w:val="32"/>
          <w:szCs w:val="32"/>
          <w:highlight w:val="none"/>
          <w:lang w:eastAsia="zh-CN"/>
        </w:rPr>
        <w:t>基本公共卫生服务</w:t>
      </w:r>
      <w:r>
        <w:rPr>
          <w:rFonts w:hint="eastAsia" w:ascii="仿宋" w:hAnsi="仿宋" w:eastAsia="仿宋"/>
          <w:bCs/>
          <w:kern w:val="0"/>
          <w:sz w:val="32"/>
          <w:szCs w:val="32"/>
          <w:highlight w:val="none"/>
        </w:rPr>
        <w:t xml:space="preserve">  </w:t>
      </w:r>
      <w:r>
        <w:rPr>
          <w:rFonts w:hint="eastAsia" w:ascii="仿宋" w:hAnsi="仿宋" w:eastAsia="仿宋"/>
          <w:bCs/>
          <w:kern w:val="0"/>
          <w:sz w:val="32"/>
          <w:szCs w:val="32"/>
          <w:highlight w:val="none"/>
          <w:lang w:eastAsia="zh-CN"/>
        </w:rPr>
        <w:t>基本医疗服务</w:t>
      </w:r>
    </w:p>
    <w:p>
      <w:pPr>
        <w:widowControl/>
        <w:numPr>
          <w:ilvl w:val="0"/>
          <w:numId w:val="0"/>
        </w:numPr>
        <w:spacing w:after="240"/>
        <w:ind w:firstLine="640" w:firstLineChars="200"/>
        <w:jc w:val="left"/>
        <w:rPr>
          <w:rFonts w:hint="eastAsia" w:ascii="仿宋" w:hAnsi="仿宋" w:eastAsia="仿宋"/>
          <w:kern w:val="0"/>
          <w:sz w:val="32"/>
          <w:szCs w:val="32"/>
          <w:highlight w:val="none"/>
        </w:rPr>
      </w:pPr>
      <w:r>
        <w:rPr>
          <w:rFonts w:hint="eastAsia" w:ascii="仿宋" w:hAnsi="仿宋" w:eastAsia="仿宋"/>
          <w:bCs/>
          <w:kern w:val="0"/>
          <w:sz w:val="32"/>
          <w:szCs w:val="32"/>
          <w:highlight w:val="none"/>
        </w:rPr>
        <w:t>主要业务：</w:t>
      </w:r>
      <w:r>
        <w:rPr>
          <w:rFonts w:hint="eastAsia" w:ascii="仿宋" w:hAnsi="仿宋" w:eastAsia="仿宋"/>
          <w:bCs/>
          <w:kern w:val="0"/>
          <w:sz w:val="32"/>
          <w:szCs w:val="32"/>
          <w:highlight w:val="none"/>
          <w:lang w:eastAsia="zh-CN"/>
        </w:rPr>
        <w:t>承担基本公共卫生</w:t>
      </w:r>
      <w:r>
        <w:rPr>
          <w:rFonts w:hint="eastAsia" w:ascii="仿宋" w:hAnsi="仿宋" w:eastAsia="仿宋"/>
          <w:bCs/>
          <w:kern w:val="0"/>
          <w:sz w:val="32"/>
          <w:szCs w:val="32"/>
          <w:highlight w:val="none"/>
          <w:lang w:val="en-US" w:eastAsia="zh-CN"/>
        </w:rPr>
        <w:t>15项内容服务，及</w:t>
      </w:r>
      <w:r>
        <w:rPr>
          <w:rFonts w:hint="eastAsia" w:ascii="仿宋" w:hAnsi="仿宋" w:eastAsia="仿宋" w:cs="仿宋"/>
          <w:kern w:val="0"/>
          <w:sz w:val="32"/>
          <w:szCs w:val="32"/>
        </w:rPr>
        <w:t>政府卫生行政部门规定的其他公共卫生服务</w:t>
      </w:r>
      <w:r>
        <w:rPr>
          <w:rFonts w:hint="eastAsia" w:ascii="仿宋" w:hAnsi="仿宋" w:eastAsia="仿宋" w:cs="仿宋"/>
          <w:kern w:val="0"/>
          <w:sz w:val="32"/>
          <w:szCs w:val="32"/>
          <w:lang w:eastAsia="zh-CN"/>
        </w:rPr>
        <w:t>；提供</w:t>
      </w:r>
      <w:r>
        <w:rPr>
          <w:rFonts w:hint="eastAsia" w:ascii="仿宋" w:hAnsi="仿宋" w:eastAsia="仿宋" w:cs="仿宋"/>
          <w:kern w:val="0"/>
          <w:sz w:val="32"/>
          <w:szCs w:val="32"/>
        </w:rPr>
        <w:t>一般常见病、多发病的诊疗、护理和诊断明确的慢性病的治疗</w:t>
      </w:r>
      <w:r>
        <w:rPr>
          <w:rFonts w:hint="eastAsia" w:ascii="仿宋" w:hAnsi="仿宋" w:eastAsia="仿宋" w:cs="仿宋"/>
          <w:kern w:val="0"/>
          <w:sz w:val="32"/>
          <w:szCs w:val="32"/>
          <w:lang w:eastAsia="zh-CN"/>
        </w:rPr>
        <w:t>及基本的医疗服务</w:t>
      </w:r>
      <w:r>
        <w:rPr>
          <w:rFonts w:hint="eastAsia" w:ascii="仿宋" w:hAnsi="仿宋" w:eastAsia="仿宋"/>
          <w:kern w:val="0"/>
          <w:sz w:val="32"/>
          <w:szCs w:val="32"/>
          <w:highlight w:val="none"/>
        </w:rPr>
        <w:t>等。</w:t>
      </w:r>
    </w:p>
    <w:p>
      <w:pPr>
        <w:widowControl/>
        <w:numPr>
          <w:ilvl w:val="0"/>
          <w:numId w:val="0"/>
        </w:numPr>
        <w:spacing w:after="240"/>
        <w:ind w:firstLine="640" w:firstLineChars="200"/>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机构设置包括：</w:t>
      </w:r>
      <w:r>
        <w:rPr>
          <w:rFonts w:hint="eastAsia" w:ascii="仿宋" w:hAnsi="仿宋" w:eastAsia="仿宋"/>
          <w:kern w:val="0"/>
          <w:szCs w:val="32"/>
          <w:highlight w:val="none"/>
          <w:lang w:eastAsia="zh-CN"/>
        </w:rPr>
        <w:t>全科医疗、妇科、儿科、检验科、公卫科</w:t>
      </w:r>
      <w:r>
        <w:rPr>
          <w:rFonts w:hint="eastAsia" w:ascii="仿宋" w:hAnsi="仿宋" w:eastAsia="仿宋"/>
          <w:kern w:val="0"/>
          <w:szCs w:val="32"/>
          <w:highlight w:val="none"/>
        </w:rPr>
        <w:t>；</w:t>
      </w:r>
    </w:p>
    <w:p>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17</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19</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2</w:t>
      </w:r>
      <w:r>
        <w:rPr>
          <w:rFonts w:hint="eastAsia" w:ascii="仿宋" w:hAnsi="仿宋" w:eastAsia="仿宋"/>
          <w:kern w:val="0"/>
          <w:szCs w:val="32"/>
          <w:highlight w:val="none"/>
        </w:rPr>
        <w:t>个。</w:t>
      </w:r>
    </w:p>
    <w:p>
      <w:pPr>
        <w:pStyle w:val="12"/>
        <w:ind w:firstLine="627" w:firstLineChars="196"/>
        <w:rPr>
          <w:rFonts w:ascii="仿宋" w:hAnsi="仿宋" w:eastAsia="仿宋"/>
          <w:kern w:val="0"/>
          <w:szCs w:val="32"/>
          <w:highlight w:val="none"/>
        </w:rPr>
      </w:pPr>
    </w:p>
    <w:p>
      <w:pPr>
        <w:jc w:val="left"/>
        <w:rPr>
          <w:rFonts w:ascii="黑体" w:hAnsi="黑体" w:eastAsia="黑体"/>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 xml:space="preserve">             </w:t>
      </w: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w:t>
      </w: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167.09</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97.49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增加</w:t>
      </w:r>
      <w:r>
        <w:rPr>
          <w:rFonts w:hint="eastAsia" w:ascii="仿宋" w:hAnsi="仿宋" w:eastAsia="仿宋"/>
          <w:sz w:val="32"/>
          <w:szCs w:val="32"/>
          <w:highlight w:val="none"/>
          <w:lang w:val="en-US" w:eastAsia="zh-CN"/>
        </w:rPr>
        <w:t>69.6</w:t>
      </w:r>
      <w:r>
        <w:rPr>
          <w:rFonts w:hint="eastAsia" w:ascii="仿宋" w:hAnsi="仿宋" w:eastAsia="仿宋"/>
          <w:sz w:val="32"/>
          <w:szCs w:val="32"/>
          <w:highlight w:val="none"/>
        </w:rPr>
        <w:t>万元，主要原因：</w:t>
      </w:r>
      <w:r>
        <w:rPr>
          <w:rFonts w:hint="eastAsia" w:ascii="仿宋" w:hAnsi="仿宋" w:eastAsia="仿宋"/>
          <w:sz w:val="32"/>
          <w:szCs w:val="32"/>
          <w:highlight w:val="none"/>
          <w:lang w:eastAsia="zh-CN"/>
        </w:rPr>
        <w:t>人员工资增长，工资相关拨款增加。</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 xml:space="preserve">97.49 </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97.49万元，占100%。本年收入中，一般公共预算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157.33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167.09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167.09</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 xml:space="preserve">%；项目支出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167.09</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167.09 万元，上年结转 0 万元。支出包括：</w:t>
      </w:r>
      <w:r>
        <w:rPr>
          <w:rFonts w:hint="eastAsia" w:ascii="仿宋" w:hAnsi="仿宋" w:eastAsia="仿宋"/>
          <w:sz w:val="32"/>
          <w:szCs w:val="32"/>
          <w:highlight w:val="none"/>
        </w:rPr>
        <w:t>社会保障和就业支出</w:t>
      </w:r>
      <w:r>
        <w:rPr>
          <w:rFonts w:hint="eastAsia" w:ascii="仿宋" w:hAnsi="仿宋" w:eastAsia="仿宋"/>
          <w:sz w:val="32"/>
          <w:szCs w:val="32"/>
          <w:highlight w:val="none"/>
          <w:lang w:val="en-US" w:eastAsia="zh-CN"/>
        </w:rPr>
        <w:t>32.83</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118.03</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16.23</w:t>
      </w:r>
      <w:r>
        <w:rPr>
          <w:rFonts w:hint="eastAsia" w:ascii="仿宋" w:hAnsi="仿宋" w:eastAsia="仿宋"/>
          <w:sz w:val="32"/>
          <w:szCs w:val="32"/>
          <w:highlight w:val="none"/>
        </w:rPr>
        <w:t>万元。</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167.09</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167.09</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166.85</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99</w:t>
      </w:r>
      <w:r>
        <w:rPr>
          <w:rFonts w:hint="eastAsia" w:ascii="仿宋" w:hAnsi="仿宋" w:eastAsia="仿宋"/>
          <w:sz w:val="32"/>
          <w:szCs w:val="32"/>
          <w:highlight w:val="none"/>
        </w:rPr>
        <w:t>%</w:t>
      </w:r>
      <w:r>
        <w:rPr>
          <w:rFonts w:hint="eastAsia" w:ascii="仿宋" w:hAnsi="仿宋" w:eastAsia="仿宋"/>
          <w:sz w:val="32"/>
          <w:szCs w:val="32"/>
          <w:highlight w:val="none"/>
          <w:lang w:eastAsia="zh-CN"/>
        </w:rPr>
        <w:t>；公用经费</w:t>
      </w:r>
      <w:r>
        <w:rPr>
          <w:rFonts w:hint="eastAsia" w:ascii="仿宋" w:hAnsi="仿宋" w:eastAsia="仿宋"/>
          <w:sz w:val="32"/>
          <w:szCs w:val="32"/>
          <w:highlight w:val="none"/>
          <w:lang w:val="en-US" w:eastAsia="zh-CN"/>
        </w:rPr>
        <w:t>0.24</w:t>
      </w:r>
      <w:r>
        <w:rPr>
          <w:rFonts w:hint="eastAsia" w:ascii="仿宋" w:hAnsi="仿宋" w:eastAsia="仿宋"/>
          <w:sz w:val="32"/>
          <w:szCs w:val="32"/>
          <w:highlight w:val="none"/>
        </w:rPr>
        <w:t>，占</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社会保障和就业（类）支出32.83万元，占20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，主要用于：基本养老保险保险缴费和其他养老支出</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卫生健康（类）支出118.03万元，占70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，主要用于：人员经费、专项业务和其他非财政拨款支出（疫苗接种劳务费）</w:t>
      </w:r>
      <w:r>
        <w:rPr>
          <w:rFonts w:hint="eastAsia" w:ascii="仿宋" w:hAnsi="仿宋" w:eastAsia="仿宋"/>
          <w:sz w:val="32"/>
          <w:szCs w:val="32"/>
          <w:highlight w:val="none"/>
          <w:lang w:val="en-US" w:eastAsia="zh-CN"/>
        </w:rPr>
        <w:t>。</w:t>
      </w:r>
    </w:p>
    <w:p>
      <w:pPr>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住房保障（类）支出16.23万元，占10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，主要用于：为职工缴纳住房公积金</w:t>
      </w:r>
      <w:r>
        <w:rPr>
          <w:rFonts w:hint="eastAsia" w:ascii="仿宋" w:hAnsi="仿宋" w:eastAsia="仿宋"/>
          <w:sz w:val="32"/>
          <w:szCs w:val="32"/>
          <w:highlight w:val="none"/>
          <w:lang w:val="en-US" w:eastAsia="zh-CN"/>
        </w:rPr>
        <w:t>。</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 167.09 万元，其中：</w:t>
      </w:r>
    </w:p>
    <w:p>
      <w:pPr>
        <w:pStyle w:val="9"/>
        <w:ind w:firstLine="627" w:firstLineChars="196"/>
        <w:rPr>
          <w:rFonts w:hint="eastAsia" w:ascii="仿宋" w:hAnsi="仿宋" w:eastAsia="仿宋"/>
          <w:sz w:val="32"/>
          <w:szCs w:val="32"/>
          <w:highlight w:val="none"/>
          <w:lang w:val="en-US" w:eastAsia="zh-CN"/>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166.85</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 xml:space="preserve"> </w:t>
      </w:r>
    </w:p>
    <w:p>
      <w:pPr>
        <w:pStyle w:val="9"/>
        <w:rPr>
          <w:rFonts w:ascii="仿宋" w:hAnsi="仿宋" w:eastAsia="仿宋"/>
          <w:kern w:val="0"/>
          <w:sz w:val="32"/>
          <w:szCs w:val="32"/>
          <w:highlight w:val="none"/>
        </w:rPr>
      </w:pP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0.24</w:t>
      </w:r>
      <w:r>
        <w:rPr>
          <w:rFonts w:hint="eastAsia" w:ascii="仿宋" w:hAnsi="仿宋" w:eastAsia="仿宋"/>
          <w:sz w:val="32"/>
          <w:szCs w:val="32"/>
          <w:highlight w:val="none"/>
        </w:rPr>
        <w:t>万元，主要包括：　其他商品和服务支出。</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3</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2</w:t>
      </w:r>
      <w:r>
        <w:rPr>
          <w:rFonts w:hint="eastAsia" w:ascii="仿宋" w:hAnsi="仿宋" w:eastAsia="仿宋"/>
          <w:kern w:val="0"/>
          <w:sz w:val="32"/>
          <w:szCs w:val="32"/>
          <w:highlight w:val="none"/>
        </w:rPr>
        <w:t>年预算减少</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万元。其中：</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1.因公出国（境）费0万元，与20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2.公务接待费</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万元，与 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年预算数相同</w:t>
      </w:r>
      <w:r>
        <w:rPr>
          <w:rFonts w:hint="eastAsia" w:ascii="仿宋" w:hAnsi="仿宋" w:eastAsia="仿宋"/>
          <w:kern w:val="0"/>
          <w:sz w:val="32"/>
          <w:szCs w:val="32"/>
          <w:highlight w:val="none"/>
          <w:lang w:eastAsia="zh-CN"/>
        </w:rPr>
        <w:t>。</w:t>
      </w:r>
    </w:p>
    <w:p>
      <w:pPr>
        <w:pStyle w:val="9"/>
        <w:ind w:firstLine="640" w:firstLineChars="200"/>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万元，与20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年预算数相同。其中，公务用车运行维护费</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万元，与20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年预算数相同，公务用车购置</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万元，与20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年预算数相同。</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本单位</w:t>
      </w:r>
      <w:r>
        <w:rPr>
          <w:rFonts w:hint="eastAsia" w:ascii="仿宋" w:hAnsi="仿宋" w:eastAsia="仿宋"/>
          <w:sz w:val="32"/>
          <w:szCs w:val="32"/>
          <w:highlight w:val="none"/>
        </w:rPr>
        <w:t>的机关运行经费财政拨款预算</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w:t>
      </w:r>
      <w:r>
        <w:rPr>
          <w:rFonts w:hint="eastAsia" w:ascii="仿宋" w:hAnsi="仿宋" w:eastAsia="仿宋"/>
          <w:kern w:val="0"/>
          <w:sz w:val="32"/>
          <w:szCs w:val="32"/>
          <w:highlight w:val="none"/>
        </w:rPr>
        <w:t>与 20</w:t>
      </w:r>
      <w:r>
        <w:rPr>
          <w:rFonts w:hint="eastAsia" w:ascii="仿宋" w:hAnsi="仿宋" w:eastAsia="仿宋"/>
          <w:kern w:val="0"/>
          <w:sz w:val="32"/>
          <w:szCs w:val="32"/>
          <w:highlight w:val="none"/>
          <w:lang w:val="en-US" w:eastAsia="zh-CN"/>
        </w:rPr>
        <w:t>22</w:t>
      </w:r>
      <w:r>
        <w:rPr>
          <w:rFonts w:hint="eastAsia" w:ascii="仿宋" w:hAnsi="仿宋" w:eastAsia="仿宋"/>
          <w:kern w:val="0"/>
          <w:sz w:val="32"/>
          <w:szCs w:val="32"/>
          <w:highlight w:val="none"/>
        </w:rPr>
        <w:t>年预算数相同</w:t>
      </w:r>
      <w:r>
        <w:rPr>
          <w:rFonts w:hint="eastAsia" w:ascii="仿宋" w:hAnsi="仿宋" w:eastAsia="仿宋"/>
          <w:sz w:val="32"/>
          <w:szCs w:val="32"/>
          <w:highlight w:val="none"/>
          <w:lang w:eastAsia="zh-CN"/>
        </w:rPr>
        <w:t>。</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hint="eastAsia" w:ascii="仿宋_GB2312" w:hAnsi="仿宋_GB2312" w:eastAsia="仿宋_GB2312" w:cs="仿宋_GB2312"/>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r>
        <w:rPr>
          <w:rFonts w:hint="eastAsia" w:ascii="仿宋_GB2312" w:hAnsi="仿宋_GB2312" w:eastAsia="仿宋_GB2312" w:cs="仿宋_GB2312"/>
          <w:sz w:val="32"/>
          <w:szCs w:val="32"/>
          <w:highlight w:val="none"/>
        </w:rPr>
        <w:t>。</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w:t>
      </w:r>
      <w:r>
        <w:rPr>
          <w:rFonts w:hint="eastAsia" w:ascii="仿宋" w:hAnsi="仿宋" w:eastAsia="仿宋"/>
          <w:sz w:val="32"/>
          <w:szCs w:val="32"/>
          <w:highlight w:val="none"/>
          <w:lang w:eastAsia="zh-CN"/>
        </w:rPr>
        <w:t>本</w:t>
      </w:r>
      <w:r>
        <w:rPr>
          <w:rFonts w:hint="eastAsia" w:ascii="仿宋" w:hAnsi="仿宋" w:eastAsia="仿宋"/>
          <w:sz w:val="32"/>
          <w:szCs w:val="32"/>
          <w:highlight w:val="none"/>
        </w:rPr>
        <w:t>单位共有车辆</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辆，其中，领导干部用车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辆、一般公务用车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w:t>
      </w:r>
    </w:p>
    <w:p>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 xml:space="preserve">年确定 </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个部门本级预算项目，涉及金额</w:t>
      </w:r>
      <w:r>
        <w:rPr>
          <w:rFonts w:hint="eastAsia" w:ascii="仿宋" w:hAnsi="仿宋" w:eastAsia="仿宋"/>
          <w:sz w:val="32"/>
          <w:szCs w:val="32"/>
          <w:highlight w:val="none"/>
          <w:lang w:val="en-US" w:eastAsia="zh-CN"/>
        </w:rPr>
        <w:t>32.59</w:t>
      </w:r>
      <w:r>
        <w:rPr>
          <w:rFonts w:hint="eastAsia" w:ascii="仿宋" w:hAnsi="仿宋" w:eastAsia="仿宋"/>
          <w:sz w:val="32"/>
          <w:szCs w:val="32"/>
          <w:highlight w:val="none"/>
        </w:rPr>
        <w:t>万元，项目内容为国家基本公共卫生服务项目</w:t>
      </w:r>
      <w:r>
        <w:rPr>
          <w:rFonts w:hint="eastAsia" w:ascii="仿宋" w:hAnsi="仿宋" w:eastAsia="仿宋"/>
          <w:sz w:val="32"/>
          <w:szCs w:val="32"/>
          <w:highlight w:val="none"/>
          <w:lang w:eastAsia="zh-CN"/>
        </w:rPr>
        <w:t>、村卫生室运行经费、村卫生室基药补助、乡医养老补助和预防接种服务费五项内容。</w:t>
      </w:r>
      <w:r>
        <w:rPr>
          <w:rFonts w:hint="eastAsia" w:ascii="仿宋" w:hAnsi="仿宋" w:eastAsia="仿宋"/>
          <w:sz w:val="32"/>
          <w:szCs w:val="32"/>
          <w:highlight w:val="none"/>
        </w:rPr>
        <w:t>主要目标为开展基本公共卫生服务项目工作</w:t>
      </w:r>
      <w:r>
        <w:rPr>
          <w:rFonts w:hint="eastAsia" w:ascii="仿宋" w:hAnsi="仿宋" w:eastAsia="仿宋"/>
          <w:sz w:val="32"/>
          <w:szCs w:val="32"/>
          <w:highlight w:val="none"/>
          <w:lang w:eastAsia="zh-CN"/>
        </w:rPr>
        <w:t>，保证所有政府办基层医疗卫生机构实施国家基本药物制度，推进综合改革顺利进行；提高标准化村卫生室建设，提高基层医疗服务能力，加强乡村医生队伍建设；规范疫苗接种收费行为，保障疫苗接种安全</w:t>
      </w:r>
      <w:r>
        <w:rPr>
          <w:rFonts w:hint="eastAsia" w:ascii="仿宋" w:hAnsi="仿宋" w:eastAsia="仿宋"/>
          <w:sz w:val="32"/>
          <w:szCs w:val="32"/>
          <w:highlight w:val="none"/>
        </w:rPr>
        <w:t>。同时，将预算项目绩效目标进一步细化为绩效指标和指标值（附预算项目绩效目标申报表）。</w:t>
      </w:r>
    </w:p>
    <w:p>
      <w:pPr>
        <w:jc w:val="cente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BiZWE4OGFiNzI5YmZlMTcxMDQ0ZTRlZTFmYjgwZTU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1B6914"/>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7361A0B"/>
    <w:rsid w:val="38253B59"/>
    <w:rsid w:val="385B501F"/>
    <w:rsid w:val="38DE30B8"/>
    <w:rsid w:val="39284901"/>
    <w:rsid w:val="3A482539"/>
    <w:rsid w:val="3A915046"/>
    <w:rsid w:val="3C4C15D1"/>
    <w:rsid w:val="3CEA5A8A"/>
    <w:rsid w:val="3D897F97"/>
    <w:rsid w:val="3DA7578C"/>
    <w:rsid w:val="3ED628CF"/>
    <w:rsid w:val="3F597259"/>
    <w:rsid w:val="3F6B774D"/>
    <w:rsid w:val="430260DD"/>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B6155BC"/>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2841</Words>
  <Characters>3079</Characters>
  <Lines>19</Lines>
  <Paragraphs>5</Paragraphs>
  <TotalTime>3</TotalTime>
  <ScaleCrop>false</ScaleCrop>
  <LinksUpToDate>false</LinksUpToDate>
  <CharactersWithSpaces>3190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cp:lastPrinted>2023-01-29T03:08:09Z</cp:lastPrinted>
  <dcterms:modified xsi:type="dcterms:W3CDTF">2023-01-29T03:08:12Z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015E53AB75C04A42A540DA5266089B66</vt:lpwstr>
  </property>
</Properties>
</file>